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850" w:rsidRPr="009033E5" w:rsidRDefault="00562850" w:rsidP="009033E5">
      <w:pPr>
        <w:jc w:val="both"/>
        <w:rPr>
          <w:rFonts w:ascii="Times New Roman" w:hAnsi="Times New Roman" w:cs="Times New Roman"/>
          <w:b/>
          <w:sz w:val="24"/>
          <w:szCs w:val="24"/>
        </w:rPr>
      </w:pPr>
      <w:bookmarkStart w:id="0" w:name="_GoBack"/>
      <w:bookmarkEnd w:id="0"/>
      <w:r w:rsidRPr="009033E5">
        <w:rPr>
          <w:rFonts w:ascii="Times New Roman" w:hAnsi="Times New Roman" w:cs="Times New Roman"/>
          <w:b/>
          <w:sz w:val="24"/>
          <w:szCs w:val="24"/>
        </w:rPr>
        <w:t xml:space="preserve">Администрация </w:t>
      </w:r>
      <w:r w:rsidR="009033E5" w:rsidRPr="009033E5">
        <w:rPr>
          <w:rFonts w:ascii="Times New Roman" w:hAnsi="Times New Roman" w:cs="Times New Roman"/>
          <w:b/>
          <w:sz w:val="24"/>
          <w:szCs w:val="24"/>
        </w:rPr>
        <w:t>Сивиньского</w:t>
      </w:r>
      <w:r w:rsidRPr="009033E5">
        <w:rPr>
          <w:rFonts w:ascii="Times New Roman" w:hAnsi="Times New Roman" w:cs="Times New Roman"/>
          <w:b/>
          <w:sz w:val="24"/>
          <w:szCs w:val="24"/>
        </w:rPr>
        <w:t xml:space="preserve"> сельского поселения </w:t>
      </w:r>
      <w:proofErr w:type="spellStart"/>
      <w:r w:rsidRPr="009033E5">
        <w:rPr>
          <w:rFonts w:ascii="Times New Roman" w:hAnsi="Times New Roman" w:cs="Times New Roman"/>
          <w:b/>
          <w:sz w:val="24"/>
          <w:szCs w:val="24"/>
        </w:rPr>
        <w:t>Краснослободского</w:t>
      </w:r>
      <w:proofErr w:type="spellEnd"/>
      <w:r w:rsidRPr="009033E5">
        <w:rPr>
          <w:rFonts w:ascii="Times New Roman" w:hAnsi="Times New Roman" w:cs="Times New Roman"/>
          <w:b/>
          <w:sz w:val="24"/>
          <w:szCs w:val="24"/>
        </w:rPr>
        <w:t xml:space="preserve"> муниципального района Республики Мордовия по признанию и оспариванию нормативных правовых актов руководствуется </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Порядок</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ОБЖАЛОВАНИЯ НОРМАТИВНЫХ ПРАВОВЫХ АКТОВ И ИНЫХ РЕШЕНИЙ, ПРИНЯТЫХ ОРГАНАМИ МЕСТНОГО САМОУПРАВЛЕНИЯ</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"Кодекс административного судопроизводства Российской Федерации" от 08.03.2015 N 21-ФЗ (ред. от 19.07.2018)</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 xml:space="preserve"> Глава 22. ПРОИЗВОДСТВО ПО АДМИНИСТРАТИВНЫМ ДЕЛАМ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КАС РФ 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 xml:space="preserve"> </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1.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 xml:space="preserve">2.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w:t>
      </w:r>
      <w:r w:rsidRPr="009033E5">
        <w:rPr>
          <w:rFonts w:ascii="Times New Roman" w:hAnsi="Times New Roman" w:cs="Times New Roman"/>
          <w:b/>
          <w:sz w:val="24"/>
          <w:szCs w:val="24"/>
        </w:rPr>
        <w:lastRenderedPageBreak/>
        <w:t>препятствия к осуществлению их прав, свобод и реализации законных интересов или на них незаконно возложены какие-либо обязанности.</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3. В случае,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4.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5. Административные исковые заявления подаются в суд по правилам подсудности, установленным главой 2 настоящего Кодекса.</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КАС РФ Статья 219. Срок обращения с административным исковым заявлением в суд</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 xml:space="preserve"> </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2. Административное исковое заявление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(в ред. Федерального закона от 05.12.2017 N 380-ФЗ)</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lastRenderedPageBreak/>
        <w:t>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4. 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 xml:space="preserve">6. Несвоевременное рассмотрение или </w:t>
      </w:r>
      <w:proofErr w:type="spellStart"/>
      <w:r w:rsidRPr="009033E5">
        <w:rPr>
          <w:rFonts w:ascii="Times New Roman" w:hAnsi="Times New Roman" w:cs="Times New Roman"/>
          <w:b/>
          <w:sz w:val="24"/>
          <w:szCs w:val="24"/>
        </w:rPr>
        <w:t>нерассмотрение</w:t>
      </w:r>
      <w:proofErr w:type="spellEnd"/>
      <w:r w:rsidRPr="009033E5">
        <w:rPr>
          <w:rFonts w:ascii="Times New Roman" w:hAnsi="Times New Roman" w:cs="Times New Roman"/>
          <w:b/>
          <w:sz w:val="24"/>
          <w:szCs w:val="24"/>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7. Пропущенный по указанной в части 6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КАС РФ 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 xml:space="preserve"> </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1. Форма административного искового заявления должна соответствовать требованиям, предусмотренным частями 1, 8 и 9 статьи 125 настоящего Кодекса.</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(в ред. Федерального закона от 23.06.2016 N 220-ФЗ)</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(см. текст в предыдущей редакции)</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1) сведения, предусмотренные пунктами 1, 2, 8 и 9 части 2 и частью 6 статьи 125 настоящего Кодекса;</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lastRenderedPageBreak/>
        <w:t>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3) наименование, номер, дата принятия оспариваемого решения, дата и место совершения оспариваемого действия (бездействия);</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5) иные известные данные в отношении оспариваемых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статье 40 настоящего Кодекса лицами - о правах, свободах и законных интересах иных лиц;</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7) нормативные правовые акты и их положения, на соответствие которым надлежит проверить оспариваемые решение, действие (бездействие);</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8) сведения о невозможности приложения к административному исковому заявлению каких-либо документов из числа указанных в части 3 настоящей статьи и соответствующие ходатайства;</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rsidR="00562850" w:rsidRPr="009033E5" w:rsidRDefault="00562850" w:rsidP="009033E5">
      <w:pPr>
        <w:jc w:val="both"/>
        <w:rPr>
          <w:rFonts w:ascii="Times New Roman" w:hAnsi="Times New Roman" w:cs="Times New Roman"/>
          <w:b/>
          <w:sz w:val="24"/>
          <w:szCs w:val="24"/>
        </w:rPr>
      </w:pPr>
      <w:r w:rsidRPr="009033E5">
        <w:rPr>
          <w:rFonts w:ascii="Times New Roman" w:hAnsi="Times New Roman" w:cs="Times New Roman"/>
          <w:b/>
          <w:sz w:val="24"/>
          <w:szCs w:val="24"/>
        </w:rPr>
        <w:t>3.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части 1 статьи 126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rsidR="0031299C" w:rsidRPr="009033E5" w:rsidRDefault="0031299C">
      <w:pPr>
        <w:rPr>
          <w:rFonts w:ascii="Times New Roman" w:hAnsi="Times New Roman" w:cs="Times New Roman"/>
        </w:rPr>
      </w:pPr>
    </w:p>
    <w:sectPr w:rsidR="0031299C" w:rsidRPr="009033E5" w:rsidSect="00C44D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850"/>
    <w:rsid w:val="00052ADE"/>
    <w:rsid w:val="0031299C"/>
    <w:rsid w:val="00562850"/>
    <w:rsid w:val="009033E5"/>
    <w:rsid w:val="0099044B"/>
    <w:rsid w:val="00C44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B391A8-C247-4304-BF6F-CBE92408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1575</Words>
  <Characters>8981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1</cp:lastModifiedBy>
  <cp:revision>2</cp:revision>
  <dcterms:created xsi:type="dcterms:W3CDTF">2022-10-12T07:57:00Z</dcterms:created>
  <dcterms:modified xsi:type="dcterms:W3CDTF">2022-10-12T07:57:00Z</dcterms:modified>
</cp:coreProperties>
</file>